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58" w:rsidRPr="00661BAA" w:rsidRDefault="00D86958" w:rsidP="00D8695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spacing w:before="200" w:beforeAutospacing="0" w:after="0" w:afterAutospacing="0"/>
        <w:outlineLvl w:val="0"/>
        <w:rPr>
          <w:sz w:val="32"/>
          <w:szCs w:val="32"/>
        </w:rPr>
      </w:pPr>
      <w:r w:rsidRPr="00661BAA">
        <w:rPr>
          <w:rFonts w:ascii="Calibri" w:hAnsi="Century Gothic"/>
          <w:b/>
          <w:bCs/>
          <w:color w:val="595959"/>
          <w:kern w:val="24"/>
          <w:sz w:val="32"/>
          <w:szCs w:val="32"/>
        </w:rPr>
        <w:t>Ejes de trabajo:</w:t>
      </w:r>
    </w:p>
    <w:p w:rsidR="00D86958" w:rsidRPr="00661BAA" w:rsidRDefault="00D86958" w:rsidP="00D8695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spacing w:before="200" w:beforeAutospacing="0" w:after="0" w:afterAutospacing="0"/>
        <w:rPr>
          <w:sz w:val="20"/>
          <w:szCs w:val="20"/>
        </w:rPr>
      </w:pP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Posicionamiento estrat</w:t>
      </w:r>
      <w:r>
        <w:rPr>
          <w:rFonts w:ascii="Calibri" w:hAnsi="Century Gothic"/>
          <w:b/>
          <w:bCs/>
          <w:color w:val="595959"/>
          <w:kern w:val="24"/>
          <w:sz w:val="20"/>
          <w:szCs w:val="20"/>
        </w:rPr>
        <w:t>é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 xml:space="preserve">gico: 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Posicionar, gestionar y coordinar las acciones de la Alcald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í</w:t>
      </w:r>
      <w:r>
        <w:rPr>
          <w:rFonts w:ascii="Calibri" w:hAnsi="Century Gothic"/>
          <w:color w:val="595959"/>
          <w:kern w:val="24"/>
          <w:sz w:val="20"/>
          <w:szCs w:val="20"/>
        </w:rPr>
        <w:t>a de la Ciudad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 xml:space="preserve">, en el 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á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mbito nacional e internacional; dinamizando procesos de integraci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n entre los pa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í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ses amigos.</w:t>
      </w:r>
    </w:p>
    <w:p w:rsidR="00D86958" w:rsidRPr="00661BAA" w:rsidRDefault="00D86958" w:rsidP="00D8695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spacing w:before="200" w:beforeAutospacing="0" w:after="0" w:afterAutospacing="0"/>
        <w:rPr>
          <w:sz w:val="20"/>
          <w:szCs w:val="20"/>
        </w:rPr>
      </w:pP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Promovida y ampliada la cooperaci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n al desarrollo sobre la base de los principios de la cooperaci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n integral (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motivaci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n, horizontalidad, participaci</w:t>
      </w:r>
      <w:r>
        <w:rPr>
          <w:rFonts w:ascii="Calibri" w:hAnsi="Century Gothic"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n y ciudadan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í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a global, objetivos del desarrollo sostenible, equidad, inclusi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n, igualdad,</w:t>
      </w:r>
      <w:r>
        <w:rPr>
          <w:rFonts w:ascii="Calibri" w:hAnsi="Century Gothic"/>
          <w:color w:val="595959"/>
          <w:kern w:val="24"/>
          <w:sz w:val="20"/>
          <w:szCs w:val="20"/>
        </w:rPr>
        <w:t xml:space="preserve"> complementariedad, continuidad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, uso de nuevas tecnolog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í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as, trabajo en red, incidencia internacional)</w:t>
      </w:r>
    </w:p>
    <w:p w:rsidR="00D86958" w:rsidRDefault="00D86958" w:rsidP="00D86958">
      <w:pPr>
        <w:jc w:val="right"/>
        <w:rPr>
          <w:rFonts w:ascii="Arial Rounded MT Bold" w:hAnsi="Arial Rounded MT Bold"/>
          <w:b/>
          <w:sz w:val="24"/>
          <w:szCs w:val="24"/>
          <w:u w:val="single"/>
        </w:rPr>
      </w:pPr>
    </w:p>
    <w:p w:rsidR="00D86958" w:rsidRDefault="007D74CC" w:rsidP="00D86958">
      <w:pPr>
        <w:jc w:val="right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Dic</w:t>
      </w:r>
      <w:r w:rsidR="00D86958">
        <w:rPr>
          <w:rFonts w:ascii="Arial Rounded MT Bold" w:hAnsi="Arial Rounded MT Bold"/>
          <w:b/>
          <w:sz w:val="24"/>
          <w:szCs w:val="24"/>
          <w:u w:val="single"/>
        </w:rPr>
        <w:t>iembre 2019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087"/>
        <w:gridCol w:w="4406"/>
        <w:gridCol w:w="1260"/>
      </w:tblGrid>
      <w:tr w:rsidR="00D86958" w:rsidRPr="00677772" w:rsidTr="00116F8F">
        <w:trPr>
          <w:trHeight w:val="847"/>
        </w:trPr>
        <w:tc>
          <w:tcPr>
            <w:tcW w:w="2454" w:type="dxa"/>
            <w:shd w:val="clear" w:color="auto" w:fill="ACB9CA"/>
            <w:vAlign w:val="center"/>
          </w:tcPr>
          <w:p w:rsidR="00D86958" w:rsidRPr="00677772" w:rsidRDefault="00D86958" w:rsidP="00116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Actividad/Gestión</w:t>
            </w:r>
          </w:p>
        </w:tc>
        <w:tc>
          <w:tcPr>
            <w:tcW w:w="0" w:type="auto"/>
            <w:shd w:val="clear" w:color="auto" w:fill="ACB9CA"/>
            <w:vAlign w:val="center"/>
          </w:tcPr>
          <w:p w:rsidR="00D86958" w:rsidRPr="00677772" w:rsidRDefault="00D86958" w:rsidP="00116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77772">
              <w:rPr>
                <w:rFonts w:ascii="Times New Roman" w:hAnsi="Times New Roman"/>
                <w:b/>
                <w:sz w:val="28"/>
              </w:rPr>
              <w:t>Entidad</w:t>
            </w:r>
          </w:p>
        </w:tc>
        <w:tc>
          <w:tcPr>
            <w:tcW w:w="4406" w:type="dxa"/>
            <w:shd w:val="clear" w:color="auto" w:fill="ACB9CA"/>
            <w:vAlign w:val="center"/>
          </w:tcPr>
          <w:p w:rsidR="00D86958" w:rsidRPr="00677772" w:rsidRDefault="00D86958" w:rsidP="00116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77772">
              <w:rPr>
                <w:rFonts w:ascii="Times New Roman" w:hAnsi="Times New Roman"/>
                <w:b/>
                <w:sz w:val="28"/>
              </w:rPr>
              <w:t>Información</w:t>
            </w:r>
          </w:p>
        </w:tc>
        <w:tc>
          <w:tcPr>
            <w:tcW w:w="1260" w:type="dxa"/>
            <w:shd w:val="clear" w:color="auto" w:fill="ACB9CA"/>
            <w:vAlign w:val="center"/>
          </w:tcPr>
          <w:p w:rsidR="00D86958" w:rsidRPr="00677772" w:rsidRDefault="00D86958" w:rsidP="00116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77772">
              <w:rPr>
                <w:rFonts w:ascii="Times New Roman" w:hAnsi="Times New Roman"/>
                <w:b/>
                <w:sz w:val="28"/>
              </w:rPr>
              <w:t>Fecha</w:t>
            </w:r>
          </w:p>
        </w:tc>
      </w:tr>
      <w:tr w:rsidR="00D86958" w:rsidRPr="002F790E" w:rsidTr="00116F8F">
        <w:trPr>
          <w:trHeight w:val="893"/>
        </w:trPr>
        <w:tc>
          <w:tcPr>
            <w:tcW w:w="2454" w:type="dxa"/>
            <w:shd w:val="clear" w:color="auto" w:fill="auto"/>
            <w:vAlign w:val="center"/>
          </w:tcPr>
          <w:p w:rsidR="00D86958" w:rsidRPr="00D4753E" w:rsidRDefault="00D86958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LA EM</w:t>
            </w:r>
            <w:r w:rsidR="00345E6B">
              <w:rPr>
                <w:rFonts w:ascii="Arial" w:hAnsi="Arial" w:cs="Arial"/>
              </w:rPr>
              <w:t>PRESA LEAFSINC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D86958" w:rsidRPr="00D4753E" w:rsidRDefault="00B54929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la empresa Leafsinc recicladora, coordinada para la Dirección de Resiliencia, iniciativa de Proyecto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6958" w:rsidRPr="00D4753E" w:rsidRDefault="00345E6B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695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Dic</w:t>
            </w:r>
            <w:r w:rsidR="00D86958">
              <w:rPr>
                <w:rFonts w:ascii="Arial" w:hAnsi="Arial" w:cs="Arial"/>
              </w:rPr>
              <w:t xml:space="preserve">. </w:t>
            </w:r>
          </w:p>
        </w:tc>
      </w:tr>
      <w:tr w:rsidR="00D86958" w:rsidRPr="002F790E" w:rsidTr="00116F8F">
        <w:trPr>
          <w:trHeight w:val="963"/>
        </w:trPr>
        <w:tc>
          <w:tcPr>
            <w:tcW w:w="2454" w:type="dxa"/>
            <w:shd w:val="clear" w:color="auto" w:fill="auto"/>
          </w:tcPr>
          <w:p w:rsidR="00D86958" w:rsidRPr="00A72BB6" w:rsidRDefault="00D86958" w:rsidP="00345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</w:t>
            </w:r>
            <w:r w:rsidR="00345E6B">
              <w:rPr>
                <w:rFonts w:ascii="Arial" w:hAnsi="Arial" w:cs="Arial"/>
              </w:rPr>
              <w:t>EMBAJADA DE JAPON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86958" w:rsidRDefault="00D86958" w:rsidP="00116F8F">
            <w:pPr>
              <w:jc w:val="center"/>
              <w:rPr>
                <w:rFonts w:ascii="Arial" w:hAnsi="Arial" w:cs="Arial"/>
              </w:rPr>
            </w:pPr>
          </w:p>
          <w:p w:rsidR="00D86958" w:rsidRPr="00D4753E" w:rsidRDefault="00345E6B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</w:t>
            </w:r>
          </w:p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  <w:shd w:val="clear" w:color="auto" w:fill="auto"/>
          </w:tcPr>
          <w:p w:rsidR="00D86958" w:rsidRPr="00D4753E" w:rsidRDefault="00345E6B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conversó temas sobre la visita del alcalde de Imabari y su delegación a Panamá </w:t>
            </w:r>
            <w:r w:rsidR="004E5602">
              <w:rPr>
                <w:rFonts w:ascii="Arial" w:hAnsi="Arial" w:cs="Arial"/>
              </w:rPr>
              <w:t>temas relacionados a los Juegos Olímpicos y Para</w:t>
            </w:r>
            <w:r w:rsidR="00B54929">
              <w:rPr>
                <w:rFonts w:ascii="Arial" w:hAnsi="Arial" w:cs="Arial"/>
              </w:rPr>
              <w:t xml:space="preserve"> </w:t>
            </w:r>
            <w:r w:rsidR="004E5602">
              <w:rPr>
                <w:rFonts w:ascii="Arial" w:hAnsi="Arial" w:cs="Arial"/>
              </w:rPr>
              <w:t>olímpicos.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6958" w:rsidRPr="00D4753E" w:rsidRDefault="00345E6B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8695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Dic</w:t>
            </w:r>
            <w:r w:rsidR="00D86958">
              <w:rPr>
                <w:rFonts w:ascii="Arial" w:hAnsi="Arial" w:cs="Arial"/>
              </w:rPr>
              <w:t xml:space="preserve">. </w:t>
            </w:r>
          </w:p>
        </w:tc>
      </w:tr>
      <w:tr w:rsidR="00D86958" w:rsidRPr="002F790E" w:rsidTr="00116F8F">
        <w:trPr>
          <w:trHeight w:val="963"/>
        </w:trPr>
        <w:tc>
          <w:tcPr>
            <w:tcW w:w="2454" w:type="dxa"/>
            <w:shd w:val="clear" w:color="auto" w:fill="auto"/>
            <w:vAlign w:val="center"/>
          </w:tcPr>
          <w:p w:rsidR="00D86958" w:rsidRPr="00D4753E" w:rsidRDefault="00D86958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</w:t>
            </w:r>
            <w:r w:rsidR="00345E6B">
              <w:rPr>
                <w:rFonts w:ascii="Arial" w:hAnsi="Arial" w:cs="Arial"/>
              </w:rPr>
              <w:t xml:space="preserve">LA SUB DIRECTORA DE PARTICIPACIÓN CIUDADANA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D86958" w:rsidRPr="00D4753E" w:rsidRDefault="00B54929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Reunión para valorar posibilidaddes de presemyatr propuestas de Proyectos a la Plataforma Panama Coopera de Cancillería.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5E6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de </w:t>
            </w:r>
            <w:r w:rsidR="00345E6B">
              <w:rPr>
                <w:rFonts w:ascii="Arial" w:hAnsi="Arial" w:cs="Arial"/>
              </w:rPr>
              <w:t>Dic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D86958" w:rsidRPr="002F790E" w:rsidTr="00116F8F">
        <w:trPr>
          <w:trHeight w:val="963"/>
        </w:trPr>
        <w:tc>
          <w:tcPr>
            <w:tcW w:w="2454" w:type="dxa"/>
            <w:shd w:val="clear" w:color="auto" w:fill="auto"/>
            <w:vAlign w:val="center"/>
          </w:tcPr>
          <w:p w:rsidR="00D86958" w:rsidRPr="00D4753E" w:rsidRDefault="00345E6B" w:rsidP="00116F8F">
            <w:pPr>
              <w:rPr>
                <w:rFonts w:ascii="Arial" w:hAnsi="Arial" w:cs="Arial"/>
              </w:rPr>
            </w:pPr>
            <w:r w:rsidRPr="00345E6B">
              <w:rPr>
                <w:rFonts w:ascii="Arial" w:hAnsi="Arial" w:cs="Arial"/>
              </w:rPr>
              <w:t>REUNION PARA RUTA DOCUMENTAL DE LOS TRAMITES LEGALES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D86958" w:rsidRPr="00D4753E" w:rsidRDefault="00345E6B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Correspondía más al área de obras y construcciones, auditoria interna, legal y justicia.</w:t>
            </w:r>
            <w:r w:rsidR="0046385A">
              <w:rPr>
                <w:rFonts w:ascii="Arial" w:hAnsi="Arial" w:cs="Arial"/>
              </w:rPr>
              <w:t xml:space="preserve"> Los cuales manejan documentos legales que requiere de una respuesta y que muchas veces se manejan con discreción.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5E6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de </w:t>
            </w:r>
            <w:r w:rsidR="00345E6B">
              <w:rPr>
                <w:rFonts w:ascii="Arial" w:hAnsi="Arial" w:cs="Arial"/>
              </w:rPr>
              <w:t>Dic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D86958" w:rsidRPr="002F790E" w:rsidTr="00116F8F">
        <w:trPr>
          <w:trHeight w:val="1131"/>
        </w:trPr>
        <w:tc>
          <w:tcPr>
            <w:tcW w:w="2454" w:type="dxa"/>
            <w:shd w:val="clear" w:color="auto" w:fill="auto"/>
            <w:vAlign w:val="center"/>
          </w:tcPr>
          <w:p w:rsidR="00D86958" w:rsidRPr="00D4753E" w:rsidRDefault="00345E6B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REUNION CON BID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958" w:rsidRPr="00D4753E" w:rsidRDefault="00345E6B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MUPA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D86958" w:rsidRPr="00D4753E" w:rsidRDefault="00B54929" w:rsidP="00116F8F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Pospuesta, sin fecha definida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5E6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de </w:t>
            </w:r>
            <w:r w:rsidR="00345E6B">
              <w:rPr>
                <w:rFonts w:ascii="Arial" w:hAnsi="Arial" w:cs="Arial"/>
              </w:rPr>
              <w:t>Dic</w:t>
            </w:r>
            <w:r>
              <w:rPr>
                <w:rFonts w:ascii="Arial" w:hAnsi="Arial" w:cs="Arial"/>
              </w:rPr>
              <w:t xml:space="preserve">. </w:t>
            </w:r>
          </w:p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</w:p>
        </w:tc>
      </w:tr>
      <w:tr w:rsidR="00D86958" w:rsidTr="00116F8F">
        <w:trPr>
          <w:trHeight w:val="963"/>
        </w:trPr>
        <w:tc>
          <w:tcPr>
            <w:tcW w:w="2454" w:type="dxa"/>
            <w:shd w:val="clear" w:color="auto" w:fill="auto"/>
            <w:vAlign w:val="center"/>
          </w:tcPr>
          <w:p w:rsidR="00D86958" w:rsidRPr="00D4753E" w:rsidRDefault="007D74CC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PRESENTACIÓN DE PROYECTO DE RECUPERACIÓN DE PLAYA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D86958" w:rsidRPr="00D4753E" w:rsidRDefault="00B54929" w:rsidP="00116F8F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 xml:space="preserve">Participación en la Charla sobre Proyecto de Ciudad, Gladys Vidal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6958" w:rsidRPr="00D4753E" w:rsidRDefault="00D86958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74C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</w:t>
            </w:r>
            <w:r w:rsidR="007D74CC">
              <w:rPr>
                <w:rFonts w:ascii="Arial" w:hAnsi="Arial" w:cs="Arial"/>
              </w:rPr>
              <w:t>Dic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D86958" w:rsidRDefault="00D86958" w:rsidP="00D86958">
      <w:pPr>
        <w:rPr>
          <w:sz w:val="36"/>
          <w:szCs w:val="36"/>
        </w:rPr>
      </w:pPr>
    </w:p>
    <w:p w:rsidR="00D86958" w:rsidRPr="008D6753" w:rsidRDefault="00D86958" w:rsidP="00D86958">
      <w:pPr>
        <w:numPr>
          <w:ilvl w:val="0"/>
          <w:numId w:val="2"/>
        </w:numPr>
        <w:rPr>
          <w:sz w:val="36"/>
          <w:szCs w:val="36"/>
        </w:rPr>
      </w:pPr>
      <w:r w:rsidRPr="008D6753">
        <w:rPr>
          <w:sz w:val="36"/>
          <w:szCs w:val="36"/>
        </w:rPr>
        <w:t>Coordinaciones:</w:t>
      </w:r>
    </w:p>
    <w:p w:rsidR="00D86958" w:rsidRDefault="00D86958" w:rsidP="00D86958">
      <w:pPr>
        <w:numPr>
          <w:ilvl w:val="0"/>
          <w:numId w:val="1"/>
        </w:numPr>
        <w:jc w:val="both"/>
      </w:pPr>
      <w:bookmarkStart w:id="0" w:name="_Hlk20819077"/>
      <w:r>
        <w:t>Coordinación</w:t>
      </w:r>
      <w:r w:rsidR="00B54929">
        <w:t xml:space="preserve"> con  representantes de la Embajada de Japón para pr</w:t>
      </w:r>
      <w:r w:rsidR="00462BA0">
        <w:t>ó</w:t>
      </w:r>
      <w:r w:rsidR="00B54929">
        <w:t xml:space="preserve">xima visita de  Alcalde </w:t>
      </w:r>
      <w:r w:rsidR="00014D5B">
        <w:t xml:space="preserve">de Imabari, Japón </w:t>
      </w:r>
      <w:r w:rsidR="00B54929">
        <w:t xml:space="preserve">quien </w:t>
      </w:r>
      <w:r w:rsidR="00014D5B">
        <w:t>estará visitando la ciudad de Panamá y le interesa conversar con el alcalde sobre temas relacionados entre ambas ciudade</w:t>
      </w:r>
      <w:r w:rsidR="00B54929">
        <w:t xml:space="preserve"> en vista de que somos ciudades hermanas hace 42 años</w:t>
      </w:r>
      <w:r w:rsidR="00014D5B">
        <w:t>.</w:t>
      </w:r>
    </w:p>
    <w:bookmarkEnd w:id="0"/>
    <w:p w:rsidR="00D86958" w:rsidRDefault="00D86958" w:rsidP="00D86958">
      <w:pPr>
        <w:numPr>
          <w:ilvl w:val="0"/>
          <w:numId w:val="1"/>
        </w:numPr>
        <w:jc w:val="both"/>
      </w:pPr>
      <w:r>
        <w:t xml:space="preserve">Apoyo a la embajada de Rusia en coordinación con la Dirección </w:t>
      </w:r>
      <w:r w:rsidR="0090267A">
        <w:t>de Planificación</w:t>
      </w:r>
      <w:r>
        <w:t xml:space="preserve"> Urbana para el levantamiento de la placa de memoria relacionada con el paso de los submarinos soviéticos a finales del año 1942 a través del canal de Panamá. </w:t>
      </w:r>
    </w:p>
    <w:p w:rsidR="00CE5388" w:rsidRDefault="001615A6" w:rsidP="00CE5388">
      <w:pPr>
        <w:numPr>
          <w:ilvl w:val="0"/>
          <w:numId w:val="1"/>
        </w:numPr>
        <w:jc w:val="both"/>
      </w:pPr>
      <w:r>
        <w:t>Coordinación junto al área de planificación urbana para recibimiento de estudiantes de la Universidad de Seúl</w:t>
      </w:r>
      <w:r w:rsidR="00CE5388">
        <w:t>, Corea</w:t>
      </w:r>
      <w:r>
        <w:t xml:space="preserve"> enfocado en el proyecto ‘’World City Exploration’’, </w:t>
      </w:r>
      <w:r w:rsidR="00CE5388">
        <w:t>para Conocer Proyectos de Planificación Urbana, problemas de urbanismos, normativas y conocer casos de innovación que se realizan en la ciudad.</w:t>
      </w:r>
    </w:p>
    <w:p w:rsidR="00462BA0" w:rsidRDefault="00462BA0" w:rsidP="00CE5388">
      <w:pPr>
        <w:numPr>
          <w:ilvl w:val="0"/>
          <w:numId w:val="1"/>
        </w:numPr>
        <w:jc w:val="both"/>
      </w:pPr>
      <w:r>
        <w:t>Visita de representantes de Sullivan High School interesados en que se firme un Sister City con Chicago, EEUU.( enviarán información detallada) .</w:t>
      </w:r>
    </w:p>
    <w:p w:rsidR="00462BA0" w:rsidRDefault="00462BA0" w:rsidP="00462BA0">
      <w:pPr>
        <w:numPr>
          <w:ilvl w:val="0"/>
          <w:numId w:val="1"/>
        </w:numPr>
        <w:jc w:val="both"/>
      </w:pPr>
      <w:r>
        <w:t xml:space="preserve">Convenios con : ONU-HABITAT  para temas de DPU, renovación de hermanamiento con San Salvador, El Salvador. </w:t>
      </w:r>
    </w:p>
    <w:p w:rsidR="00462BA0" w:rsidRDefault="00462BA0" w:rsidP="00462BA0">
      <w:pPr>
        <w:numPr>
          <w:ilvl w:val="0"/>
          <w:numId w:val="1"/>
        </w:numPr>
        <w:jc w:val="both"/>
      </w:pPr>
      <w:r>
        <w:t xml:space="preserve"> Coordinación con la Empresa Metroplitana de Tursimo,  (MUPA) para publicar  la Consultoría sobre Diagnóstico de Tursimo Urbano Sostenible que será financiado por la Red de Ciudades y Capitales Iberoamericanas (UCCI) , fecha de vencimiento marzo 2020.</w:t>
      </w:r>
    </w:p>
    <w:p w:rsidR="00462BA0" w:rsidRDefault="00462BA0" w:rsidP="00CE5388">
      <w:pPr>
        <w:numPr>
          <w:ilvl w:val="0"/>
          <w:numId w:val="1"/>
        </w:numPr>
        <w:jc w:val="both"/>
      </w:pPr>
      <w:r>
        <w:t>Coordinacion con la Dirección de Planificación Urbana para ver temas de solicitudes de embajadas: Perú, Rusia, Busto de Ricardo J Alfaro- Ubicaciones en Parques.</w:t>
      </w:r>
    </w:p>
    <w:p w:rsidR="007320E6" w:rsidRDefault="00462BA0" w:rsidP="00B22094">
      <w:pPr>
        <w:numPr>
          <w:ilvl w:val="0"/>
          <w:numId w:val="1"/>
        </w:numPr>
        <w:jc w:val="both"/>
      </w:pPr>
      <w:r>
        <w:t>Coordinación diferentes ofrendas florales para representaciones diplomáticas en Panamá</w:t>
      </w:r>
      <w:r w:rsidR="00B22094">
        <w:t>.</w:t>
      </w:r>
      <w:bookmarkStart w:id="1" w:name="_GoBack"/>
      <w:bookmarkEnd w:id="1"/>
    </w:p>
    <w:sectPr w:rsidR="007320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C4D" w:rsidRDefault="00C10C4D" w:rsidP="00D86958">
      <w:pPr>
        <w:spacing w:after="0" w:line="240" w:lineRule="auto"/>
      </w:pPr>
      <w:r>
        <w:separator/>
      </w:r>
    </w:p>
  </w:endnote>
  <w:endnote w:type="continuationSeparator" w:id="0">
    <w:p w:rsidR="00C10C4D" w:rsidRDefault="00C10C4D" w:rsidP="00D8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C4D" w:rsidRDefault="00C10C4D" w:rsidP="00D86958">
      <w:pPr>
        <w:spacing w:after="0" w:line="240" w:lineRule="auto"/>
      </w:pPr>
      <w:r>
        <w:separator/>
      </w:r>
    </w:p>
  </w:footnote>
  <w:footnote w:type="continuationSeparator" w:id="0">
    <w:p w:rsidR="00C10C4D" w:rsidRDefault="00C10C4D" w:rsidP="00D8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58" w:rsidRDefault="00D86958" w:rsidP="00D86958">
    <w:pPr>
      <w:pStyle w:val="Encabezado"/>
      <w:jc w:val="center"/>
      <w:rPr>
        <w:rFonts w:ascii="Arial" w:hAnsi="Arial" w:cs="Arial"/>
        <w:b/>
        <w:noProof/>
      </w:rPr>
    </w:pPr>
    <w:r w:rsidRPr="008B3B85">
      <w:rPr>
        <w:rFonts w:ascii="Arial" w:hAnsi="Arial" w:cs="Arial"/>
        <w:b/>
        <w:noProof/>
      </w:rPr>
      <w:drawing>
        <wp:inline distT="0" distB="0" distL="0" distR="0">
          <wp:extent cx="1409700" cy="876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7" t="6238" r="565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958" w:rsidRPr="00D216D5" w:rsidRDefault="00D86958" w:rsidP="00D86958">
    <w:pPr>
      <w:pStyle w:val="Encabezado"/>
      <w:jc w:val="center"/>
      <w:rPr>
        <w:rFonts w:ascii="High Tower Text" w:hAnsi="High Tower Text" w:cs="Arial"/>
        <w:b/>
        <w:i/>
        <w:noProof/>
      </w:rPr>
    </w:pPr>
    <w:r w:rsidRPr="00D216D5">
      <w:rPr>
        <w:rFonts w:ascii="High Tower Text" w:hAnsi="High Tower Text" w:cs="Arial"/>
        <w:b/>
        <w:i/>
        <w:szCs w:val="24"/>
      </w:rPr>
      <w:t xml:space="preserve">OFICINA DE COOPERACIÓN INTERNACIONAL </w:t>
    </w:r>
  </w:p>
  <w:p w:rsidR="00D86958" w:rsidRPr="00D216D5" w:rsidRDefault="00D86958" w:rsidP="00D86958">
    <w:pPr>
      <w:jc w:val="center"/>
      <w:rPr>
        <w:rFonts w:ascii="Book Antiqua" w:hAnsi="Book Antiqua"/>
        <w:i/>
        <w:sz w:val="20"/>
      </w:rPr>
    </w:pPr>
    <w:r w:rsidRPr="00D216D5">
      <w:rPr>
        <w:rFonts w:ascii="Book Antiqua" w:hAnsi="Book Antiqua"/>
        <w:i/>
        <w:sz w:val="20"/>
      </w:rPr>
      <w:t xml:space="preserve">Teléfonos: 506-9696/97 |  </w:t>
    </w:r>
    <w:hyperlink r:id="rId2" w:history="1">
      <w:r w:rsidRPr="00D216D5">
        <w:rPr>
          <w:rStyle w:val="Hipervnculo"/>
          <w:rFonts w:ascii="Book Antiqua" w:hAnsi="Book Antiqua"/>
          <w:i/>
          <w:sz w:val="20"/>
        </w:rPr>
        <w:t>www.mupa.gob.pa</w:t>
      </w:r>
    </w:hyperlink>
  </w:p>
  <w:p w:rsidR="00D86958" w:rsidRDefault="00D86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1461"/>
    <w:multiLevelType w:val="hybridMultilevel"/>
    <w:tmpl w:val="47D2CE3A"/>
    <w:lvl w:ilvl="0" w:tplc="FCFE56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21"/>
    <w:multiLevelType w:val="hybridMultilevel"/>
    <w:tmpl w:val="77DA7A42"/>
    <w:lvl w:ilvl="0" w:tplc="0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58"/>
    <w:rsid w:val="00014D5B"/>
    <w:rsid w:val="000D00E9"/>
    <w:rsid w:val="001615A6"/>
    <w:rsid w:val="00230E52"/>
    <w:rsid w:val="00345E6B"/>
    <w:rsid w:val="00462BA0"/>
    <w:rsid w:val="0046385A"/>
    <w:rsid w:val="004E5602"/>
    <w:rsid w:val="00577A01"/>
    <w:rsid w:val="006505CC"/>
    <w:rsid w:val="007320E6"/>
    <w:rsid w:val="007D74CC"/>
    <w:rsid w:val="008D22BA"/>
    <w:rsid w:val="0090267A"/>
    <w:rsid w:val="00AB3D29"/>
    <w:rsid w:val="00B22094"/>
    <w:rsid w:val="00B54929"/>
    <w:rsid w:val="00B94720"/>
    <w:rsid w:val="00BA4535"/>
    <w:rsid w:val="00C10C4D"/>
    <w:rsid w:val="00CE5388"/>
    <w:rsid w:val="00D86958"/>
    <w:rsid w:val="00D87842"/>
    <w:rsid w:val="00F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1D83"/>
  <w15:chartTrackingRefBased/>
  <w15:docId w15:val="{25FA12E6-496F-40FB-BB38-AF5E637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A"/>
    </w:rPr>
  </w:style>
  <w:style w:type="paragraph" w:styleId="Encabezado">
    <w:name w:val="header"/>
    <w:basedOn w:val="Normal"/>
    <w:link w:val="EncabezadoCar"/>
    <w:uiPriority w:val="99"/>
    <w:unhideWhenUsed/>
    <w:rsid w:val="00D86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9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95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D8695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8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pa.gob.p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Mensual OCI</vt:lpstr>
    </vt:vector>
  </TitlesOfParts>
  <Manager>Magda</Manager>
  <Company>MUPA</Company>
  <LinksUpToDate>false</LinksUpToDate>
  <CharactersWithSpaces>3254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Mensual OCI</dc:title>
  <dc:subject>Dic 2019</dc:subject>
  <dc:creator>Paty </dc:creator>
  <cp:keywords/>
  <dc:description/>
  <cp:lastModifiedBy>Elida Moreno</cp:lastModifiedBy>
  <cp:revision>3</cp:revision>
  <dcterms:created xsi:type="dcterms:W3CDTF">2020-01-07T16:05:00Z</dcterms:created>
  <dcterms:modified xsi:type="dcterms:W3CDTF">2020-01-07T16:06:00Z</dcterms:modified>
  <cp:category>Rendición de Cuentas </cp:category>
</cp:coreProperties>
</file>